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E" w:rsidRPr="00765EFE" w:rsidRDefault="00765EFE" w:rsidP="00765EFE">
      <w:pPr>
        <w:shd w:val="clear" w:color="auto" w:fill="FFFFFF"/>
        <w:spacing w:after="188" w:line="396" w:lineRule="atLeast"/>
        <w:outlineLvl w:val="1"/>
        <w:rPr>
          <w:rFonts w:ascii="Arial" w:eastAsia="Times New Roman" w:hAnsi="Arial" w:cs="Arial"/>
          <w:color w:val="93BF35"/>
          <w:sz w:val="33"/>
          <w:szCs w:val="33"/>
        </w:rPr>
      </w:pPr>
      <w:r w:rsidRPr="00765EFE">
        <w:rPr>
          <w:rFonts w:ascii="Arial" w:eastAsia="Times New Roman" w:hAnsi="Arial" w:cs="Arial"/>
          <w:color w:val="93BF35"/>
          <w:sz w:val="33"/>
          <w:szCs w:val="33"/>
        </w:rPr>
        <w:t>VŠEOBECNÉ DODACÍ PODMÍNKY SPOLEČNOSTI BRENUS S.R.O.</w:t>
      </w: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Obecná ustanovení</w:t>
      </w:r>
      <w:r w:rsidRPr="00765EFE">
        <w:rPr>
          <w:rFonts w:ascii="Arial" w:eastAsia="Times New Roman" w:hAnsi="Arial" w:cs="Arial"/>
          <w:color w:val="666666"/>
          <w:sz w:val="21"/>
          <w:szCs w:val="21"/>
        </w:rPr>
        <w:br/>
        <w:t>Předmětem těchto podmínek je úprava právního vztahu mezi prodávajícím a kupujícím. Tyto podmínky jsou nedílnou součástí příslušné kupní smlouvy uzavřené mezi prodávajícím a kupujícím.</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Předmět smlouvy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Předmětem kupní smlouvy jsou dodávky zboží na základě jednotlivých předložených objednávek kupujícím, které specifikují druh, množství, cenu a termín dodávky a které byly prodávajícím akceptovány.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Dílčí dodávky v době plnění kupní smlouvy jsou přípustné.</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Zboží bude dodáno v obvyklé jakosti a provedení.</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Místo a doba plnění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Místo plnění je sídlo prodávajícího, není-li ujednáno jinak.</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Dodávka je splněna předáním zboží kupujícímu ze skladu prodávajícího nebo jeho předáním prvnímu dopravci k přepravě pro kupujícího, má-li být zboží prodávajícím odesláno, nebo oznámením prodávajícího kupujícímu o plnění uskladněním zboží.</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Kupní cena</w:t>
      </w:r>
      <w:r w:rsidRPr="00765EFE">
        <w:rPr>
          <w:rFonts w:ascii="Arial" w:eastAsia="Times New Roman" w:hAnsi="Arial" w:cs="Arial"/>
          <w:color w:val="666666"/>
          <w:sz w:val="21"/>
          <w:szCs w:val="21"/>
        </w:rPr>
        <w:br/>
        <w:t>Ceny jsou určeny platným ceníkem prodávajícího v době uzavření kupní smlouvy a nezahrnují daň z přidané hodnoty.</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Nabytí vlastnického práva ke zboží</w:t>
      </w:r>
      <w:r w:rsidRPr="00765EFE">
        <w:rPr>
          <w:rFonts w:ascii="Arial" w:eastAsia="Times New Roman" w:hAnsi="Arial" w:cs="Arial"/>
          <w:color w:val="666666"/>
          <w:sz w:val="21"/>
          <w:szCs w:val="21"/>
        </w:rPr>
        <w:br/>
        <w:t>Zboží se stává vlastnictvím kupujícího až úplným zaplacením kupní ceny. V případě, že kupující nezaplatí odebrané zboží včas a řádně, má prodávající nárok požadovat vrácení dodaného zboží včetně vratných obalů.</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lastRenderedPageBreak/>
        <w:t>Nebezpečí škody na zboží</w:t>
      </w:r>
      <w:r w:rsidRPr="00765EFE">
        <w:rPr>
          <w:rFonts w:ascii="Arial" w:eastAsia="Times New Roman" w:hAnsi="Arial" w:cs="Arial"/>
          <w:color w:val="666666"/>
          <w:sz w:val="21"/>
          <w:szCs w:val="21"/>
        </w:rPr>
        <w:br/>
        <w:t>Nebezpečí škod na zboží přechází na kupujícího v souladu s příslušnými ustanoveními Obchodního zákoníku - § 455, 456, 457.</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Odpovědnost za vady zboží, reklamace</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odpovídá za vadu, kterou má zboží v okamžiku, kdy přechází nebezpečí škody na zboží na kupujícího, i když se vada stane zjevnou až po této době a dále zavazuje, že dodané zboží si zachová po stanovenou dobu smluvené vlastnosti, jinak vlastnosti obvyklé. Lhůta dle ust. § 428 odst. 1 písm. c) a záruční doba činí 6 měsíců od data přechodu nebezpečí škody na zboží.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Odpovědnost prodávajícího za vady, na něž se vztahuje záruka za jakost, nevzniká, jestliže tyto vady byly způsobeny po přechodu nebezpečí škody na zboží vnějšími událostmi (např. neodbornou manipulací nebo špatným skladováním) a nezpůsobil je prodávající nebo osoby, s jejichž pomocí prodávající plnil svůj závazek. Záruka za jakost zaniká zpracováním zboží ve výrobě kupujícího.</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Kupující je povinen prohlédnout zboží podle možnosti co nejdříve po přechodu nebezpečí škody na zboží, přičemž se přihlédne k povaze zboží, nejpozději však do 48 hodin. Jestliže kupující zboží neprohlédne nebo nezařídí, aby bylo prohlédnuto v době přechodu nebezpečí škody na zboží, může uplatnit nároky z vad zjistitelných při této prohlídce, jen když prokáže, že tyto vady mělo zboží již v době přechodu nebezpečí škody na zboží.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Reklamaci vad zboží, včetně předložení reklamovaného zboží je třeba uplatnit v sídle prodávajícího nebo v jiném s prodávajícím dohodnutém místě. V případě, že reklamované zboží nebude kupující schopen předložit v sídle prodávajícího je prodávající oprávněn požadovat po kupujícím zálohu na náklady spojené s cestou prodávajícího do místa, kde se reklamované zboží nachází k posouzení reklamace. Nebude-li záloha na náklady uhrazena, není prodávající povinen řešit reklamaci mimo své sídlo.</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Je-li dodáním zboží s vadami porušena smlouva podstatným způsobem (§ 345 odst. 2 obch. zák.) může kupující zvolit mezi nároky uvedenými v § 436 odst. 1 obch. zák. jen jestliže tuto volbu oznámí prodávajícímu ve včas zaslaném oznámení vad nebo bez zbytečného odkladu po tomto oznámení.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Je-li dodáním zboží s vadami smlouva porušena nepodstatným způsobem, uplatní se postup uvedený v § 437 obch. zák.</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Obaly a balení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lastRenderedPageBreak/>
        <w:t>Zboží bude baleno podle obvyklých zvyklostí.</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Platební podmínky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Právo na zaplacení kupní ceny vzniká prodávajícímu řádným splněním jeho závazků způsobem a v místě plnění v souladu s kupní smlouvou, tj. po předání zboží kupujícímu, veřejnému dopravci nebo při plnění formou uskladnění výrobků, a to od okamžiku, kdy je kupujícímu oznámeno, že je plněno formou uskladnění.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Kupující zaplatí kupní cenu ve prospěch prodávajícího následujícím způsobem placení:</w:t>
      </w:r>
    </w:p>
    <w:p w:rsidR="00765EFE" w:rsidRPr="00765EFE" w:rsidRDefault="00765EFE" w:rsidP="00765EFE">
      <w:pPr>
        <w:numPr>
          <w:ilvl w:val="2"/>
          <w:numId w:val="1"/>
        </w:numPr>
        <w:shd w:val="clear" w:color="auto" w:fill="FFFFFF"/>
        <w:spacing w:before="100" w:beforeAutospacing="1" w:after="100" w:afterAutospacing="1" w:line="375" w:lineRule="atLeast"/>
        <w:ind w:left="1125"/>
        <w:rPr>
          <w:rFonts w:ascii="Arial" w:eastAsia="Times New Roman" w:hAnsi="Arial" w:cs="Arial"/>
          <w:color w:val="666666"/>
          <w:sz w:val="21"/>
          <w:szCs w:val="21"/>
        </w:rPr>
      </w:pPr>
      <w:r w:rsidRPr="00765EFE">
        <w:rPr>
          <w:rFonts w:ascii="Arial" w:eastAsia="Times New Roman" w:hAnsi="Arial" w:cs="Arial"/>
          <w:color w:val="666666"/>
          <w:sz w:val="21"/>
          <w:szCs w:val="21"/>
        </w:rPr>
        <w:t>hladký plat (bezhotovostní převod) k vystavené faktuře, splatnost nejpozději do data uvedeného na této faktuře (tuto platební podmínku povoluje pouze prodávající)</w:t>
      </w:r>
    </w:p>
    <w:p w:rsidR="00765EFE" w:rsidRPr="00765EFE" w:rsidRDefault="00765EFE" w:rsidP="00765EFE">
      <w:pPr>
        <w:numPr>
          <w:ilvl w:val="2"/>
          <w:numId w:val="1"/>
        </w:numPr>
        <w:shd w:val="clear" w:color="auto" w:fill="FFFFFF"/>
        <w:spacing w:before="100" w:beforeAutospacing="1" w:after="100" w:afterAutospacing="1" w:line="375" w:lineRule="atLeast"/>
        <w:ind w:left="1125"/>
        <w:rPr>
          <w:rFonts w:ascii="Arial" w:eastAsia="Times New Roman" w:hAnsi="Arial" w:cs="Arial"/>
          <w:color w:val="666666"/>
          <w:sz w:val="21"/>
          <w:szCs w:val="21"/>
        </w:rPr>
      </w:pPr>
      <w:r w:rsidRPr="00765EFE">
        <w:rPr>
          <w:rFonts w:ascii="Arial" w:eastAsia="Times New Roman" w:hAnsi="Arial" w:cs="Arial"/>
          <w:color w:val="666666"/>
          <w:sz w:val="21"/>
          <w:szCs w:val="21"/>
        </w:rPr>
        <w:t>hladký plat předem do výše vystavené zálohové faktury, splatnost nejpozději v den uvedený v zálohové faktuře (při vyúčtování kupní ceny budou zaplacené zálohy odečteny)</w:t>
      </w:r>
    </w:p>
    <w:p w:rsidR="00765EFE" w:rsidRPr="00765EFE" w:rsidRDefault="00765EFE" w:rsidP="00765EFE">
      <w:pPr>
        <w:numPr>
          <w:ilvl w:val="2"/>
          <w:numId w:val="1"/>
        </w:numPr>
        <w:shd w:val="clear" w:color="auto" w:fill="FFFFFF"/>
        <w:spacing w:before="100" w:beforeAutospacing="1" w:after="100" w:afterAutospacing="1" w:line="375" w:lineRule="atLeast"/>
        <w:ind w:left="1125"/>
        <w:rPr>
          <w:rFonts w:ascii="Arial" w:eastAsia="Times New Roman" w:hAnsi="Arial" w:cs="Arial"/>
          <w:color w:val="666666"/>
          <w:sz w:val="21"/>
          <w:szCs w:val="21"/>
        </w:rPr>
      </w:pPr>
      <w:r w:rsidRPr="00765EFE">
        <w:rPr>
          <w:rFonts w:ascii="Arial" w:eastAsia="Times New Roman" w:hAnsi="Arial" w:cs="Arial"/>
          <w:color w:val="666666"/>
          <w:sz w:val="21"/>
          <w:szCs w:val="21"/>
        </w:rPr>
        <w:t>složení v hotovosti v Kč nebo dobírkou</w:t>
      </w:r>
    </w:p>
    <w:p w:rsidR="00765EFE" w:rsidRPr="00765EFE" w:rsidRDefault="00765EFE" w:rsidP="00765EFE">
      <w:pPr>
        <w:numPr>
          <w:ilvl w:val="2"/>
          <w:numId w:val="1"/>
        </w:numPr>
        <w:shd w:val="clear" w:color="auto" w:fill="FFFFFF"/>
        <w:spacing w:before="100" w:beforeAutospacing="1" w:after="100" w:afterAutospacing="1" w:line="375" w:lineRule="atLeast"/>
        <w:ind w:left="1125"/>
        <w:rPr>
          <w:rFonts w:ascii="Arial" w:eastAsia="Times New Roman" w:hAnsi="Arial" w:cs="Arial"/>
          <w:color w:val="666666"/>
          <w:sz w:val="21"/>
          <w:szCs w:val="21"/>
        </w:rPr>
      </w:pPr>
      <w:r w:rsidRPr="00765EFE">
        <w:rPr>
          <w:rFonts w:ascii="Arial" w:eastAsia="Times New Roman" w:hAnsi="Arial" w:cs="Arial"/>
          <w:color w:val="666666"/>
          <w:sz w:val="21"/>
          <w:szCs w:val="21"/>
        </w:rPr>
        <w:t>neodvolatelný potvrzený akreditiv</w:t>
      </w:r>
    </w:p>
    <w:p w:rsidR="00765EFE" w:rsidRPr="00765EFE" w:rsidRDefault="00765EFE" w:rsidP="00765EFE">
      <w:pPr>
        <w:numPr>
          <w:ilvl w:val="2"/>
          <w:numId w:val="1"/>
        </w:numPr>
        <w:shd w:val="clear" w:color="auto" w:fill="FFFFFF"/>
        <w:spacing w:before="100" w:beforeAutospacing="1" w:after="100" w:afterAutospacing="1" w:line="375" w:lineRule="atLeast"/>
        <w:ind w:left="1125"/>
        <w:rPr>
          <w:rFonts w:ascii="Arial" w:eastAsia="Times New Roman" w:hAnsi="Arial" w:cs="Arial"/>
          <w:color w:val="666666"/>
          <w:sz w:val="21"/>
          <w:szCs w:val="21"/>
        </w:rPr>
      </w:pPr>
      <w:r w:rsidRPr="00765EFE">
        <w:rPr>
          <w:rFonts w:ascii="Arial" w:eastAsia="Times New Roman" w:hAnsi="Arial" w:cs="Arial"/>
          <w:color w:val="666666"/>
          <w:sz w:val="21"/>
          <w:szCs w:val="21"/>
        </w:rPr>
        <w:t>cizí směnka na vlastní řád vystavená k prvnímu dni následujícího měsíce, po uplynutí lhůty splatnosti uvedené na faktuře, splatná do 60-ti dnů po vidění, eskontovatelná Komerční bankou.Kupující současně kryje i úrok ve výši sazeb Komerční banky. Úrok se dopočítává ke dni splatnosti faktury.</w:t>
      </w:r>
    </w:p>
    <w:p w:rsidR="00765EFE" w:rsidRPr="00765EFE" w:rsidRDefault="00765EFE" w:rsidP="00765EFE">
      <w:pPr>
        <w:shd w:val="clear" w:color="auto" w:fill="FFFFFF"/>
        <w:spacing w:after="0" w:line="375" w:lineRule="atLeast"/>
        <w:ind w:left="750"/>
        <w:rPr>
          <w:rFonts w:ascii="Arial" w:eastAsia="Times New Roman" w:hAnsi="Arial" w:cs="Arial"/>
          <w:color w:val="666666"/>
          <w:sz w:val="21"/>
          <w:szCs w:val="21"/>
        </w:rPr>
      </w:pP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je oprávněn požadovat složení zálohy na budoucí plnění, a to až do výše 100% z hodnoty plnění.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si vyhrazuje právo určit způsob platby.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je oprávněn pozastavit další dodávky již objednaného zboží a neakceptovat další objednávky kupujícího v případě, že kupující je v prodlení s úhradou kupní ceny za předchozí dodávky. Za této situace není prodávající v prodlení se splněním své povinnosti dodat objednané zboží. V případě prodlení kupujícího s úhradou kupní ceny ( popř. zálohy na kupní cenu) za zboží o více než 10 dní je prodávající oprávněn od kupní smlouvy s prodávajícím odstoupit.</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je oprávněn požadovat úhradu i dílčí dodávky objednaného zboží s tím, že bude fakturováno pouze dodané zboží.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Prodávající a kupující se dohodli, že kupující není oprávněn provést jednostranný zápočet svých pohledávek za prodávajícím vůči pohledávce prodávajícího z titulu kupní ceny.</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Platební rabaty a skonta</w:t>
      </w:r>
      <w:r w:rsidRPr="00765EFE">
        <w:rPr>
          <w:rFonts w:ascii="Arial" w:eastAsia="Times New Roman" w:hAnsi="Arial" w:cs="Arial"/>
          <w:color w:val="666666"/>
          <w:sz w:val="21"/>
          <w:szCs w:val="21"/>
        </w:rPr>
        <w:br/>
        <w:t>Rabaty jsou uvedeny v procentech a závisí na výši předcházejících odběrů, objemu jednorázového odběru, délce a kvalitě obchodního partnerského vztahu, platební kázni, odebíraném sortimentu apod.</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Smluvní pokuty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případě, že prodávající nedodrží dobu plnění sjednanou v kupní smlouvě, uhradí kupujícímu smluvní pokutu ve výši 5% z ceny nedodaného zboží.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případě, že kupující odmítne nebo jiným způsobem znemožní prodávajícímu splnit dodávku zboží, včetně stornování objednaného zboží, uhradí prodávajícímu smluvní pokutu ve výši 5% z ceny zboží, které neodebral.</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případě, že kupující neodebere zboží do 7 kalendářních dnů poté, co obdržel termínované písemné vyzvání k odvozu zboží, uhradí prodávajícímu smluvní pokutu ve výši 10% z ceny neodebraného zboží.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případě prodlení kupujícího s placením kupní ceny za dodané zboží uhradí kupující prodávajícímu úrok z prodlení ve výši 0,1% z nezaplacené částky za každý den prodlení.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Smluvní pokuty sjednané kupní smlouvou hradí povinná strana nezávisle na tom, zda a v jaké výši vznikne druhé straně v této souvislosti škoda, kterou lze vymáhat soudně.</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Ujednáním o smluvní pokutě či smluvním úroku z prodlení není dotčen nárok prodávajícího na zákonné majetkové sankce, jakož i nárok na náhradu škody.</w:t>
      </w:r>
    </w:p>
    <w:p w:rsidR="00765EFE" w:rsidRPr="00765EFE" w:rsidRDefault="00765EFE" w:rsidP="00765EFE">
      <w:pPr>
        <w:shd w:val="clear" w:color="auto" w:fill="FFFFFF"/>
        <w:spacing w:after="0" w:line="375" w:lineRule="atLeast"/>
        <w:ind w:left="375"/>
        <w:rPr>
          <w:rFonts w:ascii="Arial" w:eastAsia="Times New Roman" w:hAnsi="Arial" w:cs="Arial"/>
          <w:color w:val="666666"/>
          <w:sz w:val="21"/>
          <w:szCs w:val="21"/>
        </w:rPr>
      </w:pPr>
    </w:p>
    <w:p w:rsidR="00765EFE" w:rsidRPr="00765EFE" w:rsidRDefault="00765EFE" w:rsidP="00765EFE">
      <w:pPr>
        <w:numPr>
          <w:ilvl w:val="0"/>
          <w:numId w:val="1"/>
        </w:numPr>
        <w:shd w:val="clear" w:color="auto" w:fill="FFFFFF"/>
        <w:spacing w:before="100" w:beforeAutospacing="1" w:after="100" w:afterAutospacing="1" w:line="375" w:lineRule="atLeast"/>
        <w:ind w:left="375"/>
        <w:rPr>
          <w:rFonts w:ascii="Arial" w:eastAsia="Times New Roman" w:hAnsi="Arial" w:cs="Arial"/>
          <w:color w:val="666666"/>
          <w:sz w:val="21"/>
          <w:szCs w:val="21"/>
        </w:rPr>
      </w:pPr>
      <w:r w:rsidRPr="00765EFE">
        <w:rPr>
          <w:rFonts w:ascii="Arial" w:eastAsia="Times New Roman" w:hAnsi="Arial" w:cs="Arial"/>
          <w:b/>
          <w:bCs/>
          <w:color w:val="666666"/>
          <w:sz w:val="21"/>
        </w:rPr>
        <w:t>Ostatní ujednání</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Kupní smlouva nabývá platnosti dnem právoplatného podpisu obou smluvních stran.</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Kupní smlouvu lze změnit nebo zrušit pouze oboustranným písemným projevem smluvních stran.</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ostatních otázkách výslovně neupravených kupní smlouvou platí ustanovení obchodního zákoníku.</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V případě, že kupující nebude mít ve vztahu k prodávajícímu vypořádány veškeré finanční závazky včetně smluvních pokut a úroků z prodlení, je prodávající oprávněn odstoupit jednostranně od uzavřené kupní smlouvy. Kupující není oprávněn v tomto případě domáhat se jakékoliv náhrady škody</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lastRenderedPageBreak/>
        <w:t>Všechny spory, vyplývající z kupní smlouvy nebo v souvislosti s ní vzniklé, budou strany řešit především vzájemnou dohodou.</w:t>
      </w:r>
    </w:p>
    <w:p w:rsidR="00765EFE" w:rsidRPr="00765EFE" w:rsidRDefault="00765EFE" w:rsidP="00765EFE">
      <w:pPr>
        <w:numPr>
          <w:ilvl w:val="1"/>
          <w:numId w:val="1"/>
        </w:numPr>
        <w:shd w:val="clear" w:color="auto" w:fill="FFFFFF"/>
        <w:spacing w:before="100" w:beforeAutospacing="1" w:after="100" w:afterAutospacing="1" w:line="375" w:lineRule="atLeast"/>
        <w:ind w:left="750"/>
        <w:rPr>
          <w:rFonts w:ascii="Arial" w:eastAsia="Times New Roman" w:hAnsi="Arial" w:cs="Arial"/>
          <w:color w:val="666666"/>
          <w:sz w:val="21"/>
          <w:szCs w:val="21"/>
        </w:rPr>
      </w:pPr>
      <w:r w:rsidRPr="00765EFE">
        <w:rPr>
          <w:rFonts w:ascii="Arial" w:eastAsia="Times New Roman" w:hAnsi="Arial" w:cs="Arial"/>
          <w:color w:val="666666"/>
          <w:sz w:val="21"/>
          <w:szCs w:val="21"/>
        </w:rPr>
        <w:t>Smluvní strany se dohodly, že veškeré spory vznikající z této smlouvy a v souvislosti s ní budou s konečnou platností rozhodovány v rozhodčím řízení dle zák. č. 216/94 Sb., a to jediným rozhodcem. Rozhodce bude určen dohodou stran, a to do 3 dnů od výzvy jedné strany straně druhé. Nedohodnou-li se strany na osobě rozhodce, bude rozhodce určen prodávajícím. Místo, den a hodinu konání rozhodčího řízení určuje jmenovaný rozhodce.</w:t>
      </w:r>
    </w:p>
    <w:p w:rsidR="00201594" w:rsidRDefault="00201594"/>
    <w:sectPr w:rsidR="002015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83BD2"/>
    <w:multiLevelType w:val="multilevel"/>
    <w:tmpl w:val="E81AF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65EFE"/>
    <w:rsid w:val="001F3308"/>
    <w:rsid w:val="00201594"/>
    <w:rsid w:val="00765E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65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5EFE"/>
    <w:rPr>
      <w:rFonts w:ascii="Times New Roman" w:eastAsia="Times New Roman" w:hAnsi="Times New Roman" w:cs="Times New Roman"/>
      <w:b/>
      <w:bCs/>
      <w:sz w:val="36"/>
      <w:szCs w:val="36"/>
    </w:rPr>
  </w:style>
  <w:style w:type="character" w:styleId="Siln">
    <w:name w:val="Strong"/>
    <w:basedOn w:val="Standardnpsmoodstavce"/>
    <w:uiPriority w:val="22"/>
    <w:qFormat/>
    <w:rsid w:val="00765EFE"/>
    <w:rPr>
      <w:b/>
      <w:bCs/>
    </w:rPr>
  </w:style>
</w:styles>
</file>

<file path=word/webSettings.xml><?xml version="1.0" encoding="utf-8"?>
<w:webSettings xmlns:r="http://schemas.openxmlformats.org/officeDocument/2006/relationships" xmlns:w="http://schemas.openxmlformats.org/wordprocessingml/2006/main">
  <w:divs>
    <w:div w:id="235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6863</Characters>
  <Application>Microsoft Office Word</Application>
  <DocSecurity>0</DocSecurity>
  <Lines>57</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2015-07-10T09:27:00Z</dcterms:created>
  <dcterms:modified xsi:type="dcterms:W3CDTF">2015-07-10T09:27:00Z</dcterms:modified>
</cp:coreProperties>
</file>